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240" w:lineRule="auto"/>
        <w:ind w:right="0" w:rightChars="0"/>
        <w:textAlignment w:val="auto"/>
        <w:rPr>
          <w:rFonts w:hint="eastAsia" w:ascii="黑体" w:hAnsi="黑体" w:eastAsia="黑体" w:cs="黑体"/>
          <w:color w:val="000000"/>
          <w:szCs w:val="32"/>
          <w:highlight w:val="none"/>
        </w:rPr>
      </w:pPr>
      <w:r>
        <w:rPr>
          <w:rFonts w:hint="eastAsia" w:ascii="黑体" w:hAnsi="黑体" w:eastAsia="黑体" w:cs="黑体"/>
          <w:color w:val="000000"/>
          <w:szCs w:val="32"/>
          <w:highlight w:val="none"/>
        </w:rPr>
        <w:t>附件</w:t>
      </w:r>
    </w:p>
    <w:p>
      <w:pPr>
        <w:snapToGrid w:val="0"/>
        <w:spacing w:before="0" w:beforeLines="0" w:after="0" w:afterLines="0"/>
        <w:jc w:val="center"/>
        <w:rPr>
          <w:rFonts w:hint="eastAsia" w:ascii="方正小标宋简体" w:hAnsi="方正小标宋简体" w:eastAsia="方正小标宋简体" w:cs="方正小标宋简体"/>
          <w:color w:val="000000"/>
          <w:sz w:val="44"/>
          <w:szCs w:val="44"/>
          <w:highlight w:val="none"/>
        </w:rPr>
      </w:pPr>
    </w:p>
    <w:p>
      <w:pPr>
        <w:snapToGrid w:val="0"/>
        <w:spacing w:before="0" w:beforeLines="0" w:after="0" w:afterLines="0"/>
        <w:jc w:val="center"/>
        <w:rPr>
          <w:rFonts w:hint="eastAsia" w:ascii="方正小标宋简体" w:hAnsi="方正小标宋简体" w:eastAsia="方正小标宋简体" w:cs="方正小标宋简体"/>
          <w:color w:val="000000"/>
          <w:sz w:val="44"/>
          <w:szCs w:val="44"/>
          <w:highlight w:val="none"/>
        </w:rPr>
      </w:pPr>
      <w:bookmarkStart w:id="0" w:name="_GoBack"/>
      <w:r>
        <w:rPr>
          <w:rFonts w:hint="eastAsia" w:ascii="方正小标宋简体" w:hAnsi="方正小标宋简体" w:eastAsia="方正小标宋简体" w:cs="方正小标宋简体"/>
          <w:color w:val="000000"/>
          <w:sz w:val="44"/>
          <w:szCs w:val="44"/>
          <w:highlight w:val="none"/>
        </w:rPr>
        <w:t>督查发现的问题及整改要求清单</w:t>
      </w:r>
    </w:p>
    <w:bookmarkEnd w:id="0"/>
    <w:p>
      <w:pPr>
        <w:snapToGrid w:val="0"/>
        <w:spacing w:before="0" w:beforeLines="0" w:after="0" w:afterLines="0"/>
        <w:jc w:val="center"/>
        <w:rPr>
          <w:rFonts w:hint="eastAsia" w:ascii="方正小标宋简体" w:hAnsi="方正小标宋简体" w:eastAsia="方正小标宋简体" w:cs="方正小标宋简体"/>
          <w:color w:val="000000"/>
          <w:sz w:val="44"/>
          <w:szCs w:val="44"/>
          <w:highlight w:val="none"/>
        </w:rPr>
      </w:pPr>
    </w:p>
    <w:tbl>
      <w:tblPr>
        <w:tblStyle w:val="5"/>
        <w:tblW w:w="0" w:type="auto"/>
        <w:jc w:val="center"/>
        <w:tblLayout w:type="fixed"/>
        <w:tblCellMar>
          <w:top w:w="15" w:type="dxa"/>
          <w:left w:w="15" w:type="dxa"/>
          <w:bottom w:w="15" w:type="dxa"/>
          <w:right w:w="15" w:type="dxa"/>
        </w:tblCellMar>
      </w:tblPr>
      <w:tblGrid>
        <w:gridCol w:w="577"/>
        <w:gridCol w:w="2900"/>
        <w:gridCol w:w="2340"/>
        <w:gridCol w:w="3086"/>
      </w:tblGrid>
      <w:tr>
        <w:tblPrEx>
          <w:tblCellMar>
            <w:top w:w="15" w:type="dxa"/>
            <w:left w:w="15" w:type="dxa"/>
            <w:bottom w:w="15" w:type="dxa"/>
            <w:right w:w="15" w:type="dxa"/>
          </w:tblCellMar>
        </w:tblPrEx>
        <w:trPr>
          <w:trHeight w:val="635" w:hRule="atLeast"/>
          <w:tblHeader/>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序号</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督查发现的问题</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发现问题的具体位置</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黑体" w:hAnsi="黑体" w:eastAsia="黑体" w:cs="黑体"/>
                <w:color w:val="000000"/>
                <w:sz w:val="21"/>
                <w:szCs w:val="21"/>
                <w:highlight w:val="none"/>
              </w:rPr>
            </w:pPr>
            <w:r>
              <w:rPr>
                <w:rFonts w:hint="eastAsia" w:ascii="黑体" w:hAnsi="黑体" w:eastAsia="黑体" w:cs="黑体"/>
                <w:color w:val="000000"/>
                <w:kern w:val="0"/>
                <w:sz w:val="21"/>
                <w:szCs w:val="21"/>
                <w:highlight w:val="none"/>
                <w:lang w:bidi="ar"/>
              </w:rPr>
              <w:t>整改要求</w:t>
            </w:r>
          </w:p>
        </w:tc>
      </w:tr>
      <w:tr>
        <w:tblPrEx>
          <w:tblCellMar>
            <w:top w:w="15" w:type="dxa"/>
            <w:left w:w="15" w:type="dxa"/>
            <w:bottom w:w="15" w:type="dxa"/>
            <w:right w:w="15" w:type="dxa"/>
          </w:tblCellMar>
        </w:tblPrEx>
        <w:trPr>
          <w:trHeight w:val="312" w:hRule="atLeast"/>
          <w:jc w:val="center"/>
        </w:trPr>
        <w:tc>
          <w:tcPr>
            <w:tcW w:w="5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2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项目港湾路路基边坡排水临时顺接落实不到位，缺少顺接排水沟，存在水土流失隐患。</w:t>
            </w:r>
          </w:p>
        </w:tc>
        <w:tc>
          <w:tcPr>
            <w:tcW w:w="23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default" w:ascii="宋体" w:hAnsi="宋体" w:eastAsia="宋体" w:cs="宋体"/>
                <w:color w:val="000000"/>
                <w:kern w:val="0"/>
                <w:sz w:val="21"/>
                <w:szCs w:val="21"/>
                <w:highlight w:val="none"/>
                <w:lang w:val="en" w:eastAsia="zh-CN" w:bidi="ar"/>
              </w:rPr>
            </w:pPr>
            <w:r>
              <w:rPr>
                <w:rFonts w:hint="eastAsia" w:ascii="宋体" w:hAnsi="宋体" w:eastAsia="宋体" w:cs="宋体"/>
                <w:color w:val="000000"/>
                <w:kern w:val="0"/>
                <w:sz w:val="21"/>
                <w:szCs w:val="21"/>
                <w:highlight w:val="none"/>
                <w:lang w:val="en-US" w:eastAsia="zh-CN" w:bidi="ar"/>
              </w:rPr>
              <w:t>港湾路路基边坡</w:t>
            </w:r>
          </w:p>
        </w:tc>
        <w:tc>
          <w:tcPr>
            <w:tcW w:w="308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建设单位应严格按照水土保持方案及后续设计要求，落实路基防护区边坡排水和顺接措施，消除水土流失隐患。</w:t>
            </w:r>
          </w:p>
        </w:tc>
      </w:tr>
      <w:tr>
        <w:tblPrEx>
          <w:tblCellMar>
            <w:top w:w="15" w:type="dxa"/>
            <w:left w:w="15" w:type="dxa"/>
            <w:bottom w:w="15" w:type="dxa"/>
            <w:right w:w="15" w:type="dxa"/>
          </w:tblCellMar>
        </w:tblPrEx>
        <w:trPr>
          <w:trHeight w:val="312"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21"/>
                <w:szCs w:val="21"/>
                <w:highlight w:val="none"/>
              </w:rPr>
            </w:pPr>
          </w:p>
        </w:tc>
        <w:tc>
          <w:tcPr>
            <w:tcW w:w="2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p>
        </w:tc>
        <w:tc>
          <w:tcPr>
            <w:tcW w:w="23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eastAsia="宋体" w:cs="宋体"/>
                <w:color w:val="000000"/>
                <w:kern w:val="0"/>
                <w:sz w:val="21"/>
                <w:szCs w:val="21"/>
                <w:highlight w:val="none"/>
                <w:lang w:eastAsia="zh-CN" w:bidi="ar"/>
              </w:rPr>
            </w:pPr>
          </w:p>
        </w:tc>
        <w:tc>
          <w:tcPr>
            <w:tcW w:w="30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p>
        </w:tc>
      </w:tr>
      <w:tr>
        <w:tblPrEx>
          <w:tblCellMar>
            <w:top w:w="15" w:type="dxa"/>
            <w:left w:w="15" w:type="dxa"/>
            <w:bottom w:w="15" w:type="dxa"/>
            <w:right w:w="15" w:type="dxa"/>
          </w:tblCellMar>
        </w:tblPrEx>
        <w:trPr>
          <w:trHeight w:val="312"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21"/>
                <w:szCs w:val="21"/>
                <w:highlight w:val="none"/>
              </w:rPr>
            </w:pPr>
          </w:p>
        </w:tc>
        <w:tc>
          <w:tcPr>
            <w:tcW w:w="2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p>
        </w:tc>
        <w:tc>
          <w:tcPr>
            <w:tcW w:w="23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eastAsia="宋体" w:cs="宋体"/>
                <w:color w:val="000000"/>
                <w:kern w:val="0"/>
                <w:sz w:val="21"/>
                <w:szCs w:val="21"/>
                <w:highlight w:val="none"/>
                <w:lang w:eastAsia="zh-CN" w:bidi="ar"/>
              </w:rPr>
            </w:pPr>
          </w:p>
        </w:tc>
        <w:tc>
          <w:tcPr>
            <w:tcW w:w="30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p>
        </w:tc>
      </w:tr>
      <w:tr>
        <w:tblPrEx>
          <w:tblCellMar>
            <w:top w:w="15" w:type="dxa"/>
            <w:left w:w="15" w:type="dxa"/>
            <w:bottom w:w="15" w:type="dxa"/>
            <w:right w:w="15" w:type="dxa"/>
          </w:tblCellMar>
        </w:tblPrEx>
        <w:trPr>
          <w:trHeight w:val="312" w:hRule="atLeast"/>
          <w:jc w:val="center"/>
        </w:trPr>
        <w:tc>
          <w:tcPr>
            <w:tcW w:w="57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color w:val="000000"/>
                <w:sz w:val="21"/>
                <w:szCs w:val="21"/>
                <w:highlight w:val="none"/>
              </w:rPr>
            </w:pPr>
          </w:p>
        </w:tc>
        <w:tc>
          <w:tcPr>
            <w:tcW w:w="29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p>
        </w:tc>
        <w:tc>
          <w:tcPr>
            <w:tcW w:w="23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eastAsia="宋体" w:cs="宋体"/>
                <w:color w:val="000000"/>
                <w:kern w:val="0"/>
                <w:sz w:val="21"/>
                <w:szCs w:val="21"/>
                <w:highlight w:val="none"/>
                <w:lang w:eastAsia="zh-CN" w:bidi="ar"/>
              </w:rPr>
            </w:pPr>
          </w:p>
        </w:tc>
        <w:tc>
          <w:tcPr>
            <w:tcW w:w="308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p>
        </w:tc>
      </w:tr>
      <w:tr>
        <w:tblPrEx>
          <w:tblCellMar>
            <w:top w:w="15" w:type="dxa"/>
            <w:left w:w="15" w:type="dxa"/>
            <w:bottom w:w="15" w:type="dxa"/>
            <w:right w:w="15" w:type="dxa"/>
          </w:tblCellMar>
        </w:tblPrEx>
        <w:trPr>
          <w:trHeight w:val="1301"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项目廊坊特大桥桥下临时堆土水土保持措施落实不到位，未严格按照水土保持方案要求落实草袋拦挡、截排水、土地平整、植被恢复等水土保持措施，产生了明显水土流失。</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廊坊特大桥部分区域桥下堆土</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建设单位应严格按照水土保持方案及后续设计要求，落实桥梁工程区桥下临时堆土的草袋拦挡、截排水、土地平整、植被恢复等水土保持措施，对产生侵蚀沟的区域及时进行土地平整和植被恢复。</w:t>
            </w:r>
          </w:p>
        </w:tc>
      </w:tr>
      <w:tr>
        <w:tblPrEx>
          <w:tblCellMar>
            <w:top w:w="15" w:type="dxa"/>
            <w:left w:w="15" w:type="dxa"/>
            <w:bottom w:w="15" w:type="dxa"/>
            <w:right w:w="15" w:type="dxa"/>
          </w:tblCellMar>
        </w:tblPrEx>
        <w:trPr>
          <w:trHeight w:val="1301"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项目未严格按照水土保持方案设计落实2#营区及廊坊特大桥部分施工便道两侧临时排水沟。</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eastAsia="zh-CN" w:bidi="ar"/>
              </w:rPr>
              <w:t>2#营区及廊坊特大桥部分施工便道</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项目单位应严格按照水土保持方案及后续设计要求，全面落实施工便道区两侧排水沟措施，并加强管护，保障排水措施运行通畅。</w:t>
            </w:r>
          </w:p>
        </w:tc>
      </w:tr>
      <w:tr>
        <w:tblPrEx>
          <w:tblCellMar>
            <w:top w:w="15" w:type="dxa"/>
            <w:left w:w="15" w:type="dxa"/>
            <w:bottom w:w="15" w:type="dxa"/>
            <w:right w:w="15" w:type="dxa"/>
          </w:tblCellMar>
        </w:tblPrEx>
        <w:trPr>
          <w:trHeight w:val="1301" w:hRule="atLeast"/>
          <w:jc w:val="center"/>
        </w:trPr>
        <w:tc>
          <w:tcPr>
            <w:tcW w:w="577"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sz w:val="21"/>
                <w:szCs w:val="32"/>
                <w:highlight w:val="none"/>
                <w:lang w:val="en-US" w:eastAsia="zh-CN"/>
              </w:rPr>
            </w:pPr>
            <w:r>
              <w:rPr>
                <w:rFonts w:hint="eastAsia" w:ascii="宋体" w:hAnsi="宋体" w:eastAsia="宋体" w:cs="宋体"/>
                <w:color w:val="000000"/>
                <w:sz w:val="21"/>
                <w:szCs w:val="32"/>
                <w:highlight w:val="none"/>
                <w:lang w:val="en-US" w:eastAsia="zh-CN"/>
              </w:rPr>
              <w:t>项目廊坊制梁场表土堆存区措施落实不到位，未严格按照水土保持方案设计落实沉沙池和草袋装土拦挡等防护措施。</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sz w:val="21"/>
                <w:szCs w:val="32"/>
                <w:highlight w:val="none"/>
                <w:lang w:val="en-US" w:eastAsia="zh-CN"/>
              </w:rPr>
              <w:t>廊坊制梁场表土堆存区</w:t>
            </w:r>
          </w:p>
        </w:tc>
        <w:tc>
          <w:tcPr>
            <w:tcW w:w="3086"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both"/>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val="en-US" w:eastAsia="zh-CN" w:bidi="ar"/>
              </w:rPr>
              <w:t>项目单位应严格按照水土保持方案及后续设计要求，落实廊坊制梁场表土堆存区的沉沙池和草袋装土拦挡等防护措施。</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p>
    <w:p>
      <w:pPr>
        <w:numPr>
          <w:ilvl w:val="0"/>
          <w:numId w:val="0"/>
        </w:numPr>
        <w:spacing w:beforeLines="0" w:afterLines="0"/>
        <w:rPr>
          <w:rFonts w:hint="eastAsia" w:ascii="仿宋_GB2312" w:hAnsi="仿宋_GB2312" w:eastAsia="仿宋_GB2312" w:cs="仿宋_GB2312"/>
          <w:sz w:val="32"/>
          <w:szCs w:val="32"/>
          <w:lang w:val="en-US" w:eastAsia="zh-CN"/>
        </w:rPr>
      </w:pPr>
    </w:p>
    <w:p>
      <w:pPr>
        <w:numPr>
          <w:ilvl w:val="0"/>
          <w:numId w:val="0"/>
        </w:numPr>
        <w:spacing w:beforeLines="0" w:afterLines="0"/>
        <w:ind w:firstLine="0"/>
        <w:rPr>
          <w:rFonts w:hint="eastAsia" w:ascii="仿宋_GB2312" w:hAnsi="仿宋_GB2312" w:eastAsia="仿宋_GB2312" w:cs="仿宋_GB2312"/>
          <w:sz w:val="32"/>
          <w:szCs w:val="32"/>
          <w:lang w:val="en-US" w:eastAsia="zh-CN"/>
        </w:rPr>
      </w:pPr>
    </w:p>
    <w:p>
      <w:pPr>
        <w:pStyle w:val="2"/>
        <w:spacing w:beforeLines="0" w:after="0" w:afterLines="0"/>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ODk3MTQzOTlhZDliZTlhNmMzNDY2YjJiZjcwMWEifQ=="/>
  </w:docVars>
  <w:rsids>
    <w:rsidRoot w:val="2C4A1678"/>
    <w:rsid w:val="2C4A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4"/>
    <w:qFormat/>
    <w:uiPriority w:val="99"/>
    <w:pPr>
      <w:widowControl w:val="0"/>
      <w:spacing w:after="120"/>
      <w:ind w:left="420" w:leftChars="200" w:firstLine="210"/>
      <w:jc w:val="both"/>
    </w:pPr>
    <w:rPr>
      <w:rFonts w:ascii="Calibri" w:hAnsi="Calibri" w:eastAsia="宋体" w:cs="Times New Roman"/>
      <w:kern w:val="2"/>
      <w:sz w:val="32"/>
      <w:szCs w:val="24"/>
      <w:lang w:val="en-US" w:eastAsia="zh-CN" w:bidi="ar-SA"/>
    </w:rPr>
  </w:style>
  <w:style w:type="paragraph" w:customStyle="1" w:styleId="3">
    <w:name w:val="BodyTextIndent"/>
    <w:qFormat/>
    <w:uiPriority w:val="99"/>
    <w:pPr>
      <w:widowControl w:val="0"/>
      <w:spacing w:after="120"/>
      <w:ind w:left="420" w:leftChars="200"/>
      <w:jc w:val="both"/>
    </w:pPr>
    <w:rPr>
      <w:rFonts w:ascii="Calibri" w:hAnsi="Calibri" w:eastAsia="宋体" w:cs="Times New Roman"/>
      <w:kern w:val="2"/>
      <w:sz w:val="32"/>
      <w:szCs w:val="24"/>
      <w:lang w:val="en-US" w:eastAsia="zh-CN" w:bidi="ar-SA"/>
    </w:rPr>
  </w:style>
  <w:style w:type="paragraph" w:customStyle="1" w:styleId="4">
    <w:name w:val="BodyText"/>
    <w:qFormat/>
    <w:uiPriority w:val="99"/>
    <w:pPr>
      <w:widowControl w:val="0"/>
      <w:ind w:left="118"/>
      <w:jc w:val="both"/>
    </w:pPr>
    <w:rPr>
      <w:rFonts w:ascii="宋体" w:hAnsi="Calibri" w:eastAsia="仿宋_GB2312" w:cs="宋体"/>
      <w:kern w:val="2"/>
      <w:sz w:val="30"/>
      <w:szCs w:val="3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2022-08-15T09:20:00Z</dcterms:created>
  <dc:creator>齐征</dc:creator>
  <cp:lastModifiedBy>齐征</cp:lastModifiedBy>
  <dcterms:modified xsi:type="dcterms:W3CDTF">2022-08-15T09:20:50Z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13CF7E2E6D23487A88DAA95E1DEEDF4E</vt:lpwstr>
  </property>
</Properties>
</file>